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F35" w:rsidRDefault="0013414C" w14:paraId="11FCB005" w14:textId="77777777">
      <w:pPr>
        <w:spacing w:before="100" w:after="20"/>
        <w:jc w:val="center"/>
      </w:pPr>
      <w:r>
        <w:rPr>
          <w:b/>
          <w:color w:val="1F4E79"/>
          <w:sz w:val="21"/>
        </w:rPr>
        <w:t>KANSAS BALANCE OF STATE CONTINUUM OF CARE</w:t>
      </w:r>
    </w:p>
    <w:p w:rsidR="007A6F35" w:rsidP="0069657C" w:rsidRDefault="0013414C" w14:paraId="6BCA8143" w14:textId="0549C867">
      <w:pPr>
        <w:spacing w:after="40"/>
        <w:jc w:val="center"/>
      </w:pPr>
      <w:r>
        <w:rPr>
          <w:b/>
          <w:color w:val="1F4E79"/>
          <w:sz w:val="36"/>
        </w:rPr>
        <w:t>Service Participation Policy</w:t>
      </w:r>
    </w:p>
    <w:tbl>
      <w:tblPr>
        <w:tblW w:w="0" w:type="auto"/>
        <w:jc w:val="center"/>
        <w:tblLayout w:type="fixed"/>
        <w:tblLook w:val="04A0" w:firstRow="1" w:lastRow="0" w:firstColumn="1" w:lastColumn="0" w:noHBand="0" w:noVBand="1"/>
      </w:tblPr>
      <w:tblGrid>
        <w:gridCol w:w="9648"/>
      </w:tblGrid>
      <w:tr w:rsidR="007A6F35" w14:paraId="4EC9C7F6" w14:textId="77777777">
        <w:trPr>
          <w:jc w:val="center"/>
        </w:trPr>
        <w:tc>
          <w:tcPr>
            <w:tcW w:w="9648" w:type="dxa"/>
            <w:tcBorders>
              <w:top w:val="single" w:color="8FB4D1" w:sz="8" w:space="0"/>
              <w:left w:val="single" w:color="8FB4D1" w:sz="8" w:space="0"/>
              <w:bottom w:val="single" w:color="8FB4D1" w:sz="8" w:space="0"/>
              <w:right w:val="single" w:color="8FB4D1" w:sz="8" w:space="0"/>
            </w:tcBorders>
            <w:shd w:val="clear" w:color="auto" w:fill="D9EAF7"/>
            <w:vAlign w:val="center"/>
          </w:tcPr>
          <w:p w:rsidR="007A6F35" w:rsidRDefault="0013414C" w14:paraId="52CDC5D3" w14:textId="77777777">
            <w:pPr>
              <w:spacing w:after="40"/>
            </w:pPr>
            <w:r>
              <w:rPr>
                <w:b/>
                <w:color w:val="1F4E79"/>
                <w:sz w:val="18"/>
              </w:rPr>
              <w:t xml:space="preserve">Applies To: </w:t>
            </w:r>
            <w:r>
              <w:rPr>
                <w:sz w:val="18"/>
              </w:rPr>
              <w:t>CoC-funded PSH, RRH, TH, and SSO projects administered through KS-507.</w:t>
            </w:r>
          </w:p>
          <w:p w:rsidR="007A6F35" w:rsidP="00511F8C" w:rsidRDefault="0013414C" w14:paraId="7D62B514" w14:textId="2064DCB0">
            <w:pPr>
              <w:spacing w:after="40"/>
            </w:pPr>
            <w:r>
              <w:rPr>
                <w:b/>
                <w:color w:val="1F4E79"/>
                <w:sz w:val="18"/>
              </w:rPr>
              <w:t xml:space="preserve">Primary Authority: </w:t>
            </w:r>
            <w:r>
              <w:rPr>
                <w:sz w:val="18"/>
              </w:rPr>
              <w:t>24 CFR part 578; FY2026 CoC NOFO (CPD-2600-DC-0025); 24 CFR 5.2005; and applicable VAWA, civil-rights, privacy, and grant requirements.</w:t>
            </w:r>
          </w:p>
        </w:tc>
      </w:tr>
    </w:tbl>
    <w:p w:rsidR="007A6F35" w:rsidRDefault="0013414C" w14:paraId="2E090069" w14:textId="77777777">
      <w:pPr>
        <w:keepNext/>
        <w:spacing w:before="140"/>
      </w:pPr>
      <w:r>
        <w:rPr>
          <w:b/>
          <w:color w:val="1F4E79"/>
          <w:sz w:val="23"/>
        </w:rPr>
        <w:t>1. Purpose, Scope, and Interpretation</w:t>
      </w:r>
    </w:p>
    <w:p w:rsidR="007A6F35" w:rsidRDefault="0013414C" w14:paraId="2A618008" w14:textId="77777777">
      <w:r>
        <w:t>The Kansas Balance of State Continuum of Care (KS BoS CoC) establishes this policy to guide supportive service participation practices in CoC-funded projects. The policy applies to service participation practices used with adult participants in Permanent Supportive Housing (PSH), Rapid Rehousing (RRH), Transitional Housing (TH), and Supportive Services Only (SSO) projects administered through KS-507. HMIS and CoC Planning grants are outside the scope of this policy.</w:t>
      </w:r>
    </w:p>
    <w:p w:rsidR="007A6F35" w:rsidRDefault="0013414C" w14:paraId="79797C1C" w14:textId="77777777">
      <w:r>
        <w:t>This policy must be read with the KS BoS CoC Written Standards, applicable grant agreements, and all controlling Federal, state, and local requirements. When a controlling requirement differs from this policy, the controlling requirement governs.</w:t>
      </w:r>
    </w:p>
    <w:p w:rsidR="007A6F35" w:rsidRDefault="0013414C" w14:paraId="0F9E3E1D" w14:textId="77777777">
      <w:pPr>
        <w:keepNext/>
        <w:spacing w:before="140"/>
      </w:pPr>
      <w:r>
        <w:rPr>
          <w:b/>
          <w:color w:val="1F4E79"/>
          <w:sz w:val="23"/>
        </w:rPr>
        <w:t>2. Federal Framework</w:t>
      </w:r>
    </w:p>
    <w:p w:rsidR="007A6F35" w:rsidRDefault="0013414C" w14:paraId="44C1A651" w14:textId="77777777">
      <w:r>
        <w:t>Under 24 CFR 578.75(h), recipients and subrecipients may require a program participant to take part in supportive services that are not disability-related services provided through the project as a condition of continued program participation. A project whose purpose is to provide substance use treatment services may require participation in those treatment services, consistent with that regulation and other applicable requirements.</w:t>
      </w:r>
    </w:p>
    <w:p w:rsidR="007A6F35" w:rsidRDefault="0013414C" w14:paraId="76638099" w14:textId="77777777">
      <w:r>
        <w:t>Recipients and subrecipients must conduct ongoing assessments of supportive-service needs, service availability, and service coordination, and must adjust services as appropriate to support long-term housing stability. (24 CFR 578.75(e))</w:t>
      </w:r>
    </w:p>
    <w:p w:rsidR="007A6F35" w:rsidRDefault="0013414C" w14:paraId="6249549B" w14:textId="4C1F73F6">
      <w:pPr>
        <w:keepNext w:val="1"/>
        <w:spacing w:before="140"/>
        <w:rPr>
          <w:b w:val="1"/>
          <w:bCs w:val="1"/>
          <w:color w:val="1F4E79"/>
          <w:sz w:val="23"/>
          <w:szCs w:val="23"/>
        </w:rPr>
      </w:pPr>
      <w:r w:rsidRPr="41AB4387" w:rsidR="0013414C">
        <w:rPr>
          <w:b w:val="1"/>
          <w:bCs w:val="1"/>
          <w:color w:val="1F4E79"/>
          <w:sz w:val="23"/>
          <w:szCs w:val="23"/>
        </w:rPr>
        <w:t>3. Service Participation Practices</w:t>
      </w:r>
    </w:p>
    <w:p w:rsidR="007A6F35" w:rsidRDefault="0013414C" w14:paraId="323FB539" w14:textId="1AD3B569">
      <w:r>
        <w:t>Projects may use service participation practices, service expectations, or individualized service participation requirements when permitted by Federal law, their project design, and this policy. The KS BoS CoC does not require every project to adopt service participation requirements.</w:t>
      </w:r>
    </w:p>
    <w:p w:rsidR="007A6F35" w:rsidRDefault="0013414C" w14:paraId="5118094C" w14:textId="116C487D">
      <w:r>
        <w:t xml:space="preserve">A service expectation encourages engagement but does not authorize a project to impose an adverse action for nonparticipation. A project may treat participation as a condition of continued program participation only when </w:t>
      </w:r>
      <w:r w:rsidR="00C05849">
        <w:t>all</w:t>
      </w:r>
      <w:r>
        <w:t xml:space="preserve"> the following requirements are met:</w:t>
      </w:r>
    </w:p>
    <w:p w:rsidR="007A6F35" w:rsidRDefault="0013414C" w14:paraId="22298E4A" w14:textId="77777777">
      <w:pPr>
        <w:pStyle w:val="ListBullet"/>
        <w:spacing w:after="36" w:line="252" w:lineRule="auto"/>
        <w:ind w:left="317" w:hanging="230"/>
      </w:pPr>
      <w:r>
        <w:t>The requirement is permitted by 24 CFR 578.75(h) and other applicable law.</w:t>
      </w:r>
    </w:p>
    <w:p w:rsidR="007A6F35" w:rsidRDefault="0013414C" w14:paraId="2F447304" w14:textId="77777777">
      <w:pPr>
        <w:pStyle w:val="ListBullet"/>
        <w:spacing w:after="36" w:line="252" w:lineRule="auto"/>
        <w:ind w:left="317" w:hanging="230"/>
      </w:pPr>
      <w:r>
        <w:t>The requirement is based on the participant’s individual service needs and is reasonably connected to the project’s purpose and service model.</w:t>
      </w:r>
    </w:p>
    <w:p w:rsidR="007A6F35" w:rsidRDefault="0013414C" w14:paraId="6FFD3AE4" w14:textId="77777777">
      <w:pPr>
        <w:pStyle w:val="ListBullet"/>
        <w:spacing w:after="36" w:line="252" w:lineRule="auto"/>
        <w:ind w:left="317" w:hanging="230"/>
      </w:pPr>
      <w:r>
        <w:t>The requirement is stated clearly in the project’s written policies and, when applicable, the participant agreement or individualized service plan.</w:t>
      </w:r>
    </w:p>
    <w:p w:rsidR="007A6F35" w:rsidRDefault="0013414C" w14:paraId="60C91FE2" w14:textId="1DC9FD4D">
      <w:pPr>
        <w:pStyle w:val="ListBullet"/>
        <w:spacing w:after="36" w:line="252" w:lineRule="auto"/>
        <w:ind w:left="317" w:hanging="230"/>
      </w:pPr>
      <w:r>
        <w:t xml:space="preserve">Before the requirement is enforced, the project provides the </w:t>
      </w:r>
      <w:r w:rsidR="000708AC">
        <w:t>participant with</w:t>
      </w:r>
      <w:r>
        <w:t xml:space="preserve"> clear information about the required activity, expected frequency or duration, possible consequences of nonparticipation, and available grievance or appeal process.</w:t>
      </w:r>
    </w:p>
    <w:p w:rsidR="007A6F35" w:rsidRDefault="0013414C" w14:paraId="1ED9000A" w14:textId="77777777">
      <w:pPr>
        <w:pStyle w:val="ListBullet"/>
        <w:spacing w:after="36" w:line="252" w:lineRule="auto"/>
        <w:ind w:left="317" w:hanging="230"/>
      </w:pPr>
      <w:r>
        <w:t>The project applies the requirement consistently, equitably, and in compliance with applicable civil-rights, fair-housing, disability, and VAWA protections.</w:t>
      </w:r>
    </w:p>
    <w:p w:rsidR="007A6F35" w:rsidRDefault="0013414C" w14:paraId="05E3386F" w14:textId="77777777">
      <w:r>
        <w:t>Projects should develop individualized service plans collaboratively with participants and should adjust engagement approaches as a participant’s needs, goals, or circumstances change.</w:t>
      </w:r>
    </w:p>
    <w:p w:rsidR="007A6F35" w:rsidRDefault="0013414C" w14:paraId="78F8A1A9" w14:textId="77777777">
      <w:pPr>
        <w:keepNext/>
        <w:spacing w:before="140"/>
      </w:pPr>
      <w:r>
        <w:rPr>
          <w:b/>
          <w:color w:val="1F4E79"/>
          <w:sz w:val="23"/>
        </w:rPr>
        <w:t>4. Limits on Participation Requirements</w:t>
      </w:r>
    </w:p>
    <w:p w:rsidR="007A6F35" w:rsidRDefault="0013414C" w14:paraId="755EB818" w14:textId="77777777">
      <w:r>
        <w:t>A project must not make participation in disability-related services a condition of continued program participation. Disability-related services include mental health services, outpatient health services, and medication-related services provided to address a condition caused by a disability. (24 CFR 578.75(h))</w:t>
      </w:r>
    </w:p>
    <w:p w:rsidR="007A6F35" w:rsidRDefault="0013414C" w14:paraId="4DC9598B" w14:textId="77777777">
      <w:r>
        <w:lastRenderedPageBreak/>
        <w:t>A project whose purpose is to provide substance use treatment services may require participation in those services as a condition of continued program participation, consistent with 24 CFR 578.75(h), the project’s grant agreement, and all other applicable requirements.</w:t>
      </w:r>
    </w:p>
    <w:p w:rsidR="007A6F35" w:rsidRDefault="0013414C" w14:paraId="407D07D5" w14:textId="77777777">
      <w:r>
        <w:t>A service participation requirement is not a lease violation merely because it is a program condition. Before taking an adverse action based on alleged noncompliance with a service participation requirement, a project must follow the notice, grievance or appeal, due-process, termination, and tenancy procedures that apply to the project.</w:t>
      </w:r>
    </w:p>
    <w:p w:rsidR="007A6F35" w:rsidRDefault="0013414C" w14:paraId="17A24428" w14:textId="77777777">
      <w:r>
        <w:t>Nothing in this policy changes requirements related to lease terms, tenancy, termination of assistance, Fair Housing, Equal Access, nondiscrimination, reasonable accommodations, or VAWA protections.</w:t>
      </w:r>
    </w:p>
    <w:p w:rsidR="007A6F35" w:rsidRDefault="0013414C" w14:paraId="471D7AD6" w14:textId="77777777">
      <w:pPr>
        <w:keepNext/>
        <w:spacing w:before="140"/>
      </w:pPr>
      <w:r>
        <w:rPr>
          <w:b/>
          <w:color w:val="1F4E79"/>
          <w:sz w:val="23"/>
        </w:rPr>
        <w:t>5. Project Application</w:t>
      </w:r>
    </w:p>
    <w:p w:rsidR="007A6F35" w:rsidRDefault="0013414C" w14:paraId="50FE4872" w14:textId="77777777">
      <w:r>
        <w:t>PSH, RRH, and TH projects may establish individualized service participation practices consistent with their component requirements, project design, and 24 CFR 578.75(h). A project that elects to use participation requirements must follow Sections 3 and 4 of this policy.</w:t>
      </w:r>
    </w:p>
    <w:p w:rsidR="007A6F35" w:rsidRDefault="0013414C" w14:paraId="462E1C0C" w14:textId="634AEFEB">
      <w:r>
        <w:t>A project included in the CoC’s FY2026 participation-requirements measure must maintain the applicable supportive service agreement language, such as language from a contract, occupancy agreement, lease, or equivalent document, and must provide it to the CoC upon request for monitoring</w:t>
      </w:r>
    </w:p>
    <w:p w:rsidR="007A6F35" w:rsidRDefault="0013414C" w14:paraId="71F6E201" w14:textId="77777777">
      <w:r>
        <w:t>SSO, outreach, and Coordinated Entry projects may offer supportive services and referrals based on participant need. Initial access to Coordinated Entry, assessment, outreach, or other SSO services must not be conditioned on agreement to participate in unrelated services or activities.</w:t>
      </w:r>
    </w:p>
    <w:p w:rsidRPr="004973A2" w:rsidR="00F979F5" w:rsidRDefault="00342FE7" w14:paraId="20118EA8" w14:textId="790BF326">
      <w:r w:rsidR="00342FE7">
        <w:rPr/>
        <w:t>FY2026 CoC NOFO requires</w:t>
      </w:r>
      <w:r w:rsidR="005D41F2">
        <w:rPr/>
        <w:t xml:space="preserve"> New Transitional Housing projects to</w:t>
      </w:r>
      <w:r w:rsidR="00C4725A">
        <w:rPr/>
        <w:t xml:space="preserve"> d</w:t>
      </w:r>
      <w:r w:rsidR="00C258CF">
        <w:rPr/>
        <w:t>escribe how the proposed project will:</w:t>
      </w:r>
      <w:r w:rsidR="00035EBE">
        <w:rPr/>
        <w:t xml:space="preserve"> </w:t>
      </w:r>
      <w:r w:rsidR="00862298">
        <w:rPr/>
        <w:t>A</w:t>
      </w:r>
      <w:r w:rsidR="00C258CF">
        <w:rPr/>
        <w:t>ssess the service needs of program participants, and provide individualized services for program participants during their time in Transitional Housing that will result in at least 20 hours per week of engagement in services, activities or employment for all program participants, except for a program participant over age 62 or who is an individual with handicaps as defined in 24</w:t>
      </w:r>
      <w:r w:rsidR="00A950EB">
        <w:rPr/>
        <w:t xml:space="preserve"> </w:t>
      </w:r>
      <w:r w:rsidR="00C258CF">
        <w:rPr/>
        <w:t xml:space="preserve">CFR 8.3 or a with a developmental disability as defined under 24 CFR 578.3 (examples of services or activities include case management, counseling, treatment, volunteering, work therapy, education, job training, community building activities, etc.) Employment may contribute to the 20 hours per week of engagement. The project description provided here does not constitute a reporting or documentation requirement. </w:t>
      </w:r>
    </w:p>
    <w:p w:rsidR="00DA6993" w:rsidRDefault="00C258CF" w14:paraId="6CABC935" w14:textId="58C2F4E4">
      <w:r w:rsidR="00C258CF">
        <w:rPr/>
        <w:t>Indicate that the proposed project will create service plans for each program participant that include: the services to be provided, when and how often services will be provided, by whom all services will be provided; program participant goals, strategies for achieving those goals, and target dates for achievement to focus on improved health and wellness, housing stability, and increased employment income leading to financial stability and self-sufficiency.</w:t>
      </w:r>
    </w:p>
    <w:p w:rsidR="007A6F35" w:rsidRDefault="0013414C" w14:paraId="274944EA" w14:textId="77777777">
      <w:pPr>
        <w:keepNext/>
        <w:spacing w:before="140"/>
      </w:pPr>
      <w:r>
        <w:rPr>
          <w:b/>
          <w:color w:val="1F4E79"/>
          <w:sz w:val="23"/>
        </w:rPr>
        <w:t>6. Documentation</w:t>
      </w:r>
    </w:p>
    <w:p w:rsidR="007A6F35" w:rsidRDefault="0013414C" w14:paraId="40E584EC" w14:textId="77777777">
      <w:r>
        <w:t>Projects may document service needs, services offered, participant engagement, and updates to individualized service plans in HMIS or a comparable database when applicable and reasonable.</w:t>
      </w:r>
    </w:p>
    <w:p w:rsidR="007A6F35" w:rsidRDefault="0013414C" w14:paraId="40292940" w14:textId="77777777">
      <w:r>
        <w:t>Projects must maintain documentation sufficient to demonstrate compliance with any service participation requirement they use, this policy, and applicable recordkeeping requirements. Documentation must comply with applicable privacy, consent, data-sharing, and recordkeeping requirements, including 24 CFR 578.103.</w:t>
      </w:r>
    </w:p>
    <w:p w:rsidR="007A6F35" w:rsidRDefault="0013414C" w14:paraId="06205C16" w14:textId="77777777">
      <w:r>
        <w:t>Victim service providers must use a comparable database as required by applicable Federal requirements. Nothing in this policy requires documentation or data entry that conflicts with a participant’s privacy rights, a provider’s confidentiality obligations, or applicable law.</w:t>
      </w:r>
    </w:p>
    <w:p w:rsidR="007A6F35" w:rsidRDefault="0013414C" w14:paraId="227977AF" w14:textId="77777777">
      <w:pPr>
        <w:keepNext/>
        <w:spacing w:before="140"/>
      </w:pPr>
      <w:r>
        <w:rPr>
          <w:b/>
          <w:color w:val="1F4E79"/>
          <w:sz w:val="23"/>
        </w:rPr>
        <w:t>7. Domestic Violence, Dating Violence, Sexual Assault, and Stalking</w:t>
      </w:r>
    </w:p>
    <w:p w:rsidR="007A6F35" w:rsidRDefault="0013414C" w14:paraId="28F13730" w14:textId="77777777">
      <w:r>
        <w:t>Recipients and subrecipients must comply with applicable Violence Against Women Act (VAWA) protections related to admission, assistance, participation, occupancy, termination, eviction, confidentiality, notice, emergency transfer, and non-retaliation.</w:t>
      </w:r>
    </w:p>
    <w:p w:rsidR="007A6F35" w:rsidRDefault="0013414C" w14:paraId="48DEF245" w14:textId="77777777">
      <w:r>
        <w:t>A participant’s actual or perceived status as a survivor of domestic violence, dating violence, sexual assault, or stalking, or conduct directly resulting from that status, must not be used as a basis to deny admission, assistance, participation, or occupancy when the participant otherwise qualifies. (24 CFR 5.2005(b)(1))</w:t>
      </w:r>
    </w:p>
    <w:p w:rsidR="007A6F35" w:rsidRDefault="0013414C" w14:paraId="2C0125FF" w14:textId="25630887">
      <w:r>
        <w:lastRenderedPageBreak/>
        <w:t xml:space="preserve">Projects serving survivors may offer supportive services, safety planning, and referrals based on the participant’s needs and choices. </w:t>
      </w:r>
    </w:p>
    <w:p w:rsidR="007A6F35" w:rsidRDefault="0013414C" w14:paraId="431B74D0" w14:textId="77777777">
      <w:r>
        <w:t>Nothing in this policy limits a survivor’s rights or protections under VAWA or overrides a victim service provider’s applicable confidentiality practices.</w:t>
      </w:r>
    </w:p>
    <w:p w:rsidR="00F216F6" w:rsidRDefault="00F216F6" w14:paraId="3960EE30" w14:textId="77777777"/>
    <w:p w:rsidR="007A6F35" w:rsidRDefault="0013414C" w14:paraId="0F5D2CDA" w14:textId="77777777">
      <w:pPr>
        <w:keepNext w:val="1"/>
        <w:spacing w:before="140"/>
        <w:rPr>
          <w:b w:val="1"/>
          <w:bCs w:val="1"/>
          <w:color w:val="1F4E79"/>
          <w:sz w:val="23"/>
          <w:szCs w:val="23"/>
        </w:rPr>
      </w:pPr>
      <w:r w:rsidRPr="41AB4387" w:rsidR="0013414C">
        <w:rPr>
          <w:b w:val="1"/>
          <w:bCs w:val="1"/>
          <w:color w:val="1F4E79"/>
          <w:sz w:val="23"/>
          <w:szCs w:val="23"/>
        </w:rPr>
        <w:t>8. Participant Notice and Grievances</w:t>
      </w:r>
    </w:p>
    <w:p w:rsidR="007A6F35" w:rsidRDefault="0013414C" w14:paraId="048E6025" w14:textId="64C3CDDC">
      <w:r>
        <w:t>Before a project applies a service participation requirement as a condition of continued program participation, the project must provide the participant clear written information about the requirement and the consequences of nonparticipation. The project must also make its applicable grievance or appeal process available to the participant.</w:t>
      </w:r>
    </w:p>
    <w:p w:rsidRPr="004973A2" w:rsidR="00B910E0" w:rsidP="00B910E0" w:rsidRDefault="00B910E0" w14:paraId="55D11463" w14:textId="546E0335">
      <w:r w:rsidRPr="004973A2">
        <w:t xml:space="preserve">If a client is </w:t>
      </w:r>
      <w:r w:rsidRPr="004973A2" w:rsidR="00136BD2">
        <w:t>disenga</w:t>
      </w:r>
      <w:r w:rsidRPr="004973A2" w:rsidR="00B26DB1">
        <w:t>ged</w:t>
      </w:r>
      <w:r w:rsidRPr="004973A2">
        <w:t xml:space="preserve"> fro</w:t>
      </w:r>
      <w:r w:rsidRPr="004973A2" w:rsidR="00D34095">
        <w:t>m</w:t>
      </w:r>
      <w:r w:rsidRPr="004973A2">
        <w:t xml:space="preserve"> program service requirement</w:t>
      </w:r>
      <w:r w:rsidRPr="004973A2" w:rsidR="006B5E3D">
        <w:t>s</w:t>
      </w:r>
      <w:r w:rsidRPr="004973A2">
        <w:t xml:space="preserve">, the client </w:t>
      </w:r>
      <w:r w:rsidRPr="004973A2" w:rsidR="00AB531D">
        <w:t>shall</w:t>
      </w:r>
      <w:r w:rsidRPr="004973A2" w:rsidR="00EE2757">
        <w:t xml:space="preserve"> be </w:t>
      </w:r>
      <w:r w:rsidRPr="004973A2" w:rsidR="009268A2">
        <w:t>notified in accordance with program's established reengagement processes of notification or contact</w:t>
      </w:r>
      <w:r w:rsidRPr="004973A2" w:rsidR="00EB6353">
        <w:t>.</w:t>
      </w:r>
      <w:r w:rsidRPr="004973A2">
        <w:t xml:space="preserve"> </w:t>
      </w:r>
      <w:r w:rsidRPr="004973A2" w:rsidR="00F1245A">
        <w:t>The</w:t>
      </w:r>
      <w:r w:rsidRPr="004973A2" w:rsidR="007F7AED">
        <w:t xml:space="preserve"> Clie</w:t>
      </w:r>
      <w:r w:rsidRPr="004973A2" w:rsidR="00337CF4">
        <w:t>nt</w:t>
      </w:r>
      <w:r w:rsidRPr="004973A2" w:rsidR="008E380E">
        <w:t xml:space="preserve"> </w:t>
      </w:r>
      <w:r w:rsidRPr="004973A2" w:rsidR="00570C9A">
        <w:t>shall ha</w:t>
      </w:r>
      <w:r w:rsidRPr="004973A2" w:rsidR="008E048B">
        <w:t>ve</w:t>
      </w:r>
      <w:r w:rsidRPr="004973A2" w:rsidR="00FA203E">
        <w:t xml:space="preserve"> at least 30 days</w:t>
      </w:r>
      <w:r w:rsidRPr="004973A2" w:rsidR="008E048B">
        <w:t xml:space="preserve"> </w:t>
      </w:r>
      <w:r w:rsidRPr="004973A2" w:rsidR="00FA203E">
        <w:t>or the agencies individual policies</w:t>
      </w:r>
      <w:r w:rsidRPr="004973A2" w:rsidR="001C57B4">
        <w:t xml:space="preserve"> to</w:t>
      </w:r>
      <w:r w:rsidRPr="004973A2">
        <w:t xml:space="preserve"> demonstrate compliance with service requirements</w:t>
      </w:r>
      <w:r w:rsidRPr="004973A2" w:rsidR="000E4A54">
        <w:t>.</w:t>
      </w:r>
      <w:r w:rsidRPr="004973A2" w:rsidR="00175581">
        <w:t xml:space="preserve"> </w:t>
      </w:r>
      <w:r w:rsidRPr="004973A2" w:rsidR="00ED716E">
        <w:t>I</w:t>
      </w:r>
      <w:r w:rsidRPr="004973A2" w:rsidR="00416299">
        <w:t>f the c</w:t>
      </w:r>
      <w:r w:rsidRPr="004973A2" w:rsidR="00FD11D3">
        <w:t>lient</w:t>
      </w:r>
      <w:r w:rsidRPr="004973A2" w:rsidR="00D72E26">
        <w:t xml:space="preserve"> does n</w:t>
      </w:r>
      <w:r w:rsidRPr="004973A2" w:rsidR="00E62EAE">
        <w:t xml:space="preserve">ot </w:t>
      </w:r>
      <w:r w:rsidRPr="004973A2" w:rsidR="00FA203E">
        <w:t>reengage</w:t>
      </w:r>
      <w:r w:rsidRPr="004973A2" w:rsidR="008D00B6">
        <w:t xml:space="preserve"> </w:t>
      </w:r>
      <w:r w:rsidRPr="004973A2" w:rsidR="00FA203E">
        <w:t>per</w:t>
      </w:r>
      <w:r w:rsidRPr="004973A2" w:rsidR="00472AD9">
        <w:t xml:space="preserve"> ser</w:t>
      </w:r>
      <w:r w:rsidRPr="004973A2" w:rsidR="00EA7A44">
        <w:t>vice re</w:t>
      </w:r>
      <w:r w:rsidRPr="004973A2" w:rsidR="00877AD1">
        <w:t>quirements</w:t>
      </w:r>
      <w:r w:rsidRPr="004973A2" w:rsidR="00B05F1A">
        <w:t xml:space="preserve"> </w:t>
      </w:r>
      <w:r w:rsidRPr="004973A2" w:rsidR="007327E8">
        <w:t>aft</w:t>
      </w:r>
      <w:r w:rsidRPr="004973A2" w:rsidR="00A87DE4">
        <w:t>er</w:t>
      </w:r>
      <w:r w:rsidRPr="004973A2" w:rsidR="00800A80">
        <w:t xml:space="preserve"> </w:t>
      </w:r>
      <w:r w:rsidRPr="004973A2" w:rsidR="00FA203E">
        <w:t>the</w:t>
      </w:r>
      <w:r w:rsidRPr="004973A2" w:rsidR="00A64B4D">
        <w:t xml:space="preserve"> defined timeframe</w:t>
      </w:r>
      <w:r w:rsidRPr="004973A2" w:rsidR="00FA203E">
        <w:t>, then the client may be exited from the program. All attempts to contact the client should be documented in HMIS</w:t>
      </w:r>
      <w:r w:rsidRPr="004973A2" w:rsidR="00A64B4D">
        <w:t xml:space="preserve"> or comparable database.</w:t>
      </w:r>
    </w:p>
    <w:p w:rsidR="007A6F35" w:rsidRDefault="0013414C" w14:paraId="650B20B7" w14:textId="77777777">
      <w:r>
        <w:t>Participants may use the provider’s existing grievance or appeal process to raise concerns about how a project applied its service participation practices.</w:t>
      </w:r>
    </w:p>
    <w:p w:rsidR="007A6F35" w:rsidRDefault="0013414C" w14:paraId="76F2EBF0" w14:textId="77777777">
      <w:pPr>
        <w:keepNext/>
        <w:spacing w:before="140"/>
      </w:pPr>
      <w:r>
        <w:rPr>
          <w:b/>
          <w:color w:val="1F4E79"/>
          <w:sz w:val="23"/>
        </w:rPr>
        <w:t>9. Compliance and Review</w:t>
      </w:r>
    </w:p>
    <w:p w:rsidR="007A6F35" w:rsidRDefault="0013414C" w14:paraId="60523FC3" w14:textId="77777777">
      <w:r>
        <w:t>To the extent authorized by applicable grant agreements, Written Standards, and CoC policies, projects must comply with this policy. The KS BoS CoC may monitor compliance through review of written policies, participant agreements, service records, and other relevant documentation, and may require corrective action when it identifies noncompliance.</w:t>
      </w:r>
    </w:p>
    <w:p w:rsidR="007A6F35" w:rsidRDefault="0013414C" w14:paraId="4E64F321" w14:textId="77777777">
      <w:r>
        <w:t>The KS BoS CoC will review this policy at least annually and sooner when Federal requirements, HUD guidance, NOFO language, or local policy priorities materially change.</w:t>
      </w:r>
    </w:p>
    <w:p w:rsidR="007A6F35" w:rsidRDefault="0013414C" w14:paraId="11D02A48" w14:textId="77777777">
      <w:pPr>
        <w:keepNext/>
        <w:spacing w:before="180"/>
      </w:pPr>
      <w:r>
        <w:rPr>
          <w:b/>
          <w:color w:val="1F4E79"/>
          <w:sz w:val="23"/>
        </w:rPr>
        <w:t>References</w:t>
      </w:r>
    </w:p>
    <w:p w:rsidR="007A6F35" w:rsidRDefault="00AD0E73" w14:paraId="79F2D835" w14:textId="1C0C153D">
      <w:pPr>
        <w:pStyle w:val="ListBullet"/>
        <w:spacing w:after="26" w:line="247" w:lineRule="auto"/>
        <w:ind w:left="317" w:hanging="230"/>
      </w:pPr>
      <w:hyperlink w:history="1" r:id="rId12">
        <w:r w:rsidRPr="00AD0E73" w:rsidR="0013414C">
          <w:rPr>
            <w:rStyle w:val="Hyperlink"/>
            <w:sz w:val="17"/>
          </w:rPr>
          <w:t>24 CFR 578.75(e) and (h) - General operations and supportive service agreements.</w:t>
        </w:r>
      </w:hyperlink>
    </w:p>
    <w:p w:rsidR="007A6F35" w:rsidRDefault="00636A03" w14:paraId="745D511A" w14:textId="79D4BBEC">
      <w:pPr>
        <w:pStyle w:val="ListBullet"/>
        <w:spacing w:after="26" w:line="247" w:lineRule="auto"/>
        <w:ind w:left="317" w:hanging="230"/>
      </w:pPr>
      <w:hyperlink w:history="1" r:id="rId13">
        <w:r w:rsidRPr="00636A03" w:rsidR="0013414C">
          <w:rPr>
            <w:rStyle w:val="Hyperlink"/>
            <w:sz w:val="17"/>
          </w:rPr>
          <w:t>24 CFR 578.103 - Recordkeeping requirements.</w:t>
        </w:r>
      </w:hyperlink>
    </w:p>
    <w:p w:rsidR="007A6F35" w:rsidRDefault="00574B4B" w14:paraId="3AFD495B" w14:textId="099B4FCD">
      <w:pPr>
        <w:pStyle w:val="ListBullet"/>
        <w:spacing w:after="26" w:line="247" w:lineRule="auto"/>
        <w:ind w:left="317" w:hanging="230"/>
      </w:pPr>
      <w:hyperlink w:history="1" r:id="rId14">
        <w:r w:rsidRPr="00574B4B" w:rsidR="0013414C">
          <w:rPr>
            <w:rStyle w:val="Hyperlink"/>
            <w:sz w:val="17"/>
          </w:rPr>
          <w:t>24 CFR 5.2005(b)(1) - VAWA protections against denial of assistance based on survivor status or conduct directly resulting from victimization.</w:t>
        </w:r>
      </w:hyperlink>
    </w:p>
    <w:p w:rsidR="007A6F35" w:rsidRDefault="001643E2" w14:paraId="21F40C17" w14:textId="3D60A088">
      <w:pPr>
        <w:pStyle w:val="ListBullet"/>
        <w:spacing w:after="26" w:line="247" w:lineRule="auto"/>
        <w:ind w:left="317" w:hanging="230"/>
      </w:pPr>
      <w:hyperlink w:history="1" r:id="rId15">
        <w:r w:rsidRPr="001643E2" w:rsidR="0013414C">
          <w:rPr>
            <w:rStyle w:val="Hyperlink"/>
            <w:sz w:val="17"/>
          </w:rPr>
          <w:t>FY2026 Continuum of Care Competition and Youth Homelessness Demonstration Program Grants NOFO, CPD-2600-DC-0025.</w:t>
        </w:r>
      </w:hyperlink>
    </w:p>
    <w:p w:rsidR="007A6F35" w:rsidRDefault="00AE68D5" w14:paraId="2A8094A4" w14:textId="3FB0D43A">
      <w:pPr>
        <w:pStyle w:val="ListBullet"/>
        <w:spacing w:after="26" w:line="247" w:lineRule="auto"/>
        <w:ind w:left="317" w:hanging="230"/>
      </w:pPr>
      <w:hyperlink w:history="1" r:id="rId16">
        <w:r w:rsidRPr="00AE68D5" w:rsidR="0013414C">
          <w:rPr>
            <w:rStyle w:val="Hyperlink"/>
            <w:sz w:val="17"/>
          </w:rPr>
          <w:t>34 U.S.C. 12491 et seq. - Violence Against Women Act housing protections.</w:t>
        </w:r>
      </w:hyperlink>
    </w:p>
    <w:p w:rsidR="007A6F35" w:rsidRDefault="001D4722" w14:paraId="21D31998" w14:textId="52310684">
      <w:pPr>
        <w:pStyle w:val="ListBullet"/>
        <w:spacing w:after="26" w:line="247" w:lineRule="auto"/>
        <w:ind w:left="317" w:hanging="230"/>
      </w:pPr>
      <w:hyperlink w:history="1" r:id="rId17">
        <w:r w:rsidRPr="001D4722" w:rsidR="0013414C">
          <w:rPr>
            <w:rStyle w:val="Hyperlink"/>
            <w:sz w:val="17"/>
          </w:rPr>
          <w:t>KS BoS CoC Written Standards</w:t>
        </w:r>
      </w:hyperlink>
      <w:r w:rsidR="0013414C">
        <w:rPr>
          <w:color w:val="666666"/>
          <w:sz w:val="17"/>
        </w:rPr>
        <w:t xml:space="preserve"> and applicable project grant agreements.</w:t>
      </w:r>
    </w:p>
    <w:p w:rsidR="007A6F35" w:rsidRDefault="007A6F35" w14:paraId="3A8990AB" w14:textId="77E0F18A">
      <w:pPr>
        <w:spacing w:before="180" w:after="0"/>
        <w:jc w:val="center"/>
      </w:pPr>
    </w:p>
    <w:sectPr w:rsidR="007A6F35" w:rsidSect="00034616">
      <w:headerReference w:type="default" r:id="rId18"/>
      <w:footerReference w:type="default" r:id="rId19"/>
      <w:pgSz w:w="12240" w:h="15840" w:orient="portrait"/>
      <w:pgMar w:top="1037" w:right="1123" w:bottom="893" w:left="1123" w:header="432" w:footer="432"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952" w:rsidRDefault="004D5952" w14:paraId="376A80B2" w14:textId="77777777">
      <w:pPr>
        <w:spacing w:after="0" w:line="240" w:lineRule="auto"/>
      </w:pPr>
      <w:r>
        <w:separator/>
      </w:r>
    </w:p>
  </w:endnote>
  <w:endnote w:type="continuationSeparator" w:id="0">
    <w:p w:rsidR="004D5952" w:rsidRDefault="004D5952" w14:paraId="7944D71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DE4" w:rsidRDefault="00A87DE4" w14:paraId="30EC4CEA" w14:textId="77777777">
    <w:pPr>
      <w:pStyle w:val="Footer"/>
      <w:jc w:val="center"/>
    </w:pPr>
    <w:r>
      <w:rPr>
        <w:color w:val="666666"/>
        <w:sz w:val="16"/>
      </w:rPr>
      <w:t xml:space="preserve">Kansas Balance of State Continuum of Care | Service Participation Policy | Page </w:t>
    </w:r>
    <w:r>
      <w:rPr>
        <w:color w:val="666666"/>
        <w:sz w:val="16"/>
      </w:rPr>
      <w:fldChar w:fldCharType="begin"/>
    </w:r>
    <w:r>
      <w:rPr>
        <w:color w:val="666666"/>
        <w:sz w:val="16"/>
      </w:rPr>
      <w:instrText xml:space="preserve"> PAGE </w:instrText>
    </w:r>
    <w:r>
      <w:rPr>
        <w:color w:val="666666"/>
        <w:sz w:val="16"/>
      </w:rPr>
      <w:fldChar w:fldCharType="separate"/>
    </w:r>
    <w:r>
      <w:rPr>
        <w:noProof/>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952" w:rsidRDefault="004D5952" w14:paraId="5C7E4502" w14:textId="77777777">
      <w:pPr>
        <w:spacing w:after="0" w:line="240" w:lineRule="auto"/>
      </w:pPr>
      <w:r>
        <w:separator/>
      </w:r>
    </w:p>
  </w:footnote>
  <w:footnote w:type="continuationSeparator" w:id="0">
    <w:p w:rsidR="004D5952" w:rsidRDefault="004D5952" w14:paraId="3A796F9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DE4" w:rsidRDefault="00A87DE4" w14:paraId="593896F9" w14:textId="6B4BB0AD">
    <w:pPr>
      <w:pStyle w:val="Header"/>
      <w:pBdr>
        <w:bottom w:val="single" w:color="8FB4D1" w:sz="5" w:space="2"/>
      </w:pBdr>
      <w:jc w:val="right"/>
    </w:pPr>
    <w:r>
      <w:rPr>
        <w:b/>
        <w:color w:val="1F4E79"/>
        <w:sz w:val="16"/>
      </w:rPr>
      <w:t xml:space="preserve">KS BoS CoC | </w:t>
    </w:r>
    <w:r w:rsidR="004973A2">
      <w:rPr>
        <w:b/>
        <w:color w:val="1F4E79"/>
        <w:sz w:val="16"/>
      </w:rPr>
      <w:t>Service Participation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478F448"/>
    <w:lvl w:ilvl="0">
      <w:start w:val="1"/>
      <w:numFmt w:val="bullet"/>
      <w:pStyle w:val="ListBullet"/>
      <w:lvlText w:val=""/>
      <w:lvlJc w:val="left"/>
      <w:pPr>
        <w:tabs>
          <w:tab w:val="num" w:pos="360"/>
        </w:tabs>
        <w:ind w:left="360" w:hanging="360"/>
      </w:pPr>
      <w:rPr>
        <w:rFonts w:hint="default" w:ascii="Symbol" w:hAnsi="Symbol"/>
      </w:rPr>
    </w:lvl>
  </w:abstractNum>
  <w:num w:numId="1" w16cid:durableId="1072043021">
    <w:abstractNumId w:val="4"/>
  </w:num>
  <w:num w:numId="2" w16cid:durableId="1606766700">
    <w:abstractNumId w:val="5"/>
  </w:num>
  <w:num w:numId="3" w16cid:durableId="1616252560">
    <w:abstractNumId w:val="7"/>
  </w:num>
  <w:num w:numId="4" w16cid:durableId="1732541028">
    <w:abstractNumId w:val="1"/>
  </w:num>
  <w:num w:numId="5" w16cid:durableId="183371676">
    <w:abstractNumId w:val="2"/>
  </w:num>
  <w:num w:numId="6" w16cid:durableId="2024817882">
    <w:abstractNumId w:val="0"/>
  </w:num>
  <w:num w:numId="7" w16cid:durableId="367224250">
    <w:abstractNumId w:val="6"/>
  </w:num>
  <w:num w:numId="8" w16cid:durableId="900333748">
    <w:abstractNumId w:val="8"/>
  </w:num>
  <w:num w:numId="9" w16cid:durableId="926423653">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D89"/>
    <w:rsid w:val="0002231F"/>
    <w:rsid w:val="000267A2"/>
    <w:rsid w:val="00034616"/>
    <w:rsid w:val="00035EBE"/>
    <w:rsid w:val="0004523F"/>
    <w:rsid w:val="0006063C"/>
    <w:rsid w:val="000708AC"/>
    <w:rsid w:val="00092419"/>
    <w:rsid w:val="000B4E6C"/>
    <w:rsid w:val="000C3E1F"/>
    <w:rsid w:val="000C431C"/>
    <w:rsid w:val="000D4CCD"/>
    <w:rsid w:val="000E4A54"/>
    <w:rsid w:val="000E5271"/>
    <w:rsid w:val="000E569D"/>
    <w:rsid w:val="000F3E8B"/>
    <w:rsid w:val="00122C27"/>
    <w:rsid w:val="001333BE"/>
    <w:rsid w:val="0013414C"/>
    <w:rsid w:val="00136BD2"/>
    <w:rsid w:val="0015074B"/>
    <w:rsid w:val="001643E2"/>
    <w:rsid w:val="00170AEC"/>
    <w:rsid w:val="00175581"/>
    <w:rsid w:val="0019005B"/>
    <w:rsid w:val="001C28CF"/>
    <w:rsid w:val="001C57B4"/>
    <w:rsid w:val="001D0298"/>
    <w:rsid w:val="001D4722"/>
    <w:rsid w:val="001F0371"/>
    <w:rsid w:val="00200354"/>
    <w:rsid w:val="00201534"/>
    <w:rsid w:val="00211760"/>
    <w:rsid w:val="00245601"/>
    <w:rsid w:val="0029639D"/>
    <w:rsid w:val="002C10F3"/>
    <w:rsid w:val="002E0241"/>
    <w:rsid w:val="002E090E"/>
    <w:rsid w:val="002F75AB"/>
    <w:rsid w:val="00305DE2"/>
    <w:rsid w:val="00315BDA"/>
    <w:rsid w:val="00326F90"/>
    <w:rsid w:val="003279A5"/>
    <w:rsid w:val="00337CF4"/>
    <w:rsid w:val="00342FE7"/>
    <w:rsid w:val="00346D0F"/>
    <w:rsid w:val="0035322E"/>
    <w:rsid w:val="003A62A6"/>
    <w:rsid w:val="003C7EDF"/>
    <w:rsid w:val="003E5C46"/>
    <w:rsid w:val="003F1260"/>
    <w:rsid w:val="00416299"/>
    <w:rsid w:val="00437F69"/>
    <w:rsid w:val="00440CE6"/>
    <w:rsid w:val="0044169C"/>
    <w:rsid w:val="0045299A"/>
    <w:rsid w:val="00456092"/>
    <w:rsid w:val="00472AD9"/>
    <w:rsid w:val="00493CA5"/>
    <w:rsid w:val="004973A2"/>
    <w:rsid w:val="00497B89"/>
    <w:rsid w:val="004A029A"/>
    <w:rsid w:val="004B3D74"/>
    <w:rsid w:val="004D5952"/>
    <w:rsid w:val="004E20EF"/>
    <w:rsid w:val="004E5979"/>
    <w:rsid w:val="004F1439"/>
    <w:rsid w:val="005066B6"/>
    <w:rsid w:val="00507515"/>
    <w:rsid w:val="00511F8C"/>
    <w:rsid w:val="0051358B"/>
    <w:rsid w:val="00555579"/>
    <w:rsid w:val="00570C9A"/>
    <w:rsid w:val="00574B4B"/>
    <w:rsid w:val="00575A02"/>
    <w:rsid w:val="00575EE5"/>
    <w:rsid w:val="005B538A"/>
    <w:rsid w:val="005C7EC4"/>
    <w:rsid w:val="005D41F2"/>
    <w:rsid w:val="006156E1"/>
    <w:rsid w:val="00633E3A"/>
    <w:rsid w:val="00636A03"/>
    <w:rsid w:val="00637AD6"/>
    <w:rsid w:val="00655850"/>
    <w:rsid w:val="0069657C"/>
    <w:rsid w:val="006A1CB5"/>
    <w:rsid w:val="006B5E3D"/>
    <w:rsid w:val="006C11B9"/>
    <w:rsid w:val="006F00B4"/>
    <w:rsid w:val="0070044C"/>
    <w:rsid w:val="00702A90"/>
    <w:rsid w:val="0070551E"/>
    <w:rsid w:val="007327E8"/>
    <w:rsid w:val="00735A27"/>
    <w:rsid w:val="00762465"/>
    <w:rsid w:val="0076600B"/>
    <w:rsid w:val="00771A27"/>
    <w:rsid w:val="007A6F35"/>
    <w:rsid w:val="007C64F4"/>
    <w:rsid w:val="007D0605"/>
    <w:rsid w:val="007F5D96"/>
    <w:rsid w:val="007F7AED"/>
    <w:rsid w:val="00800A80"/>
    <w:rsid w:val="00803C24"/>
    <w:rsid w:val="0081479A"/>
    <w:rsid w:val="00826676"/>
    <w:rsid w:val="00862298"/>
    <w:rsid w:val="00875D42"/>
    <w:rsid w:val="00877AD1"/>
    <w:rsid w:val="008B1FD3"/>
    <w:rsid w:val="008C6470"/>
    <w:rsid w:val="008D00B6"/>
    <w:rsid w:val="008E048B"/>
    <w:rsid w:val="008E380E"/>
    <w:rsid w:val="008F76F8"/>
    <w:rsid w:val="009268A2"/>
    <w:rsid w:val="00941DE2"/>
    <w:rsid w:val="0095258C"/>
    <w:rsid w:val="0096511B"/>
    <w:rsid w:val="00983119"/>
    <w:rsid w:val="0099528D"/>
    <w:rsid w:val="009A2651"/>
    <w:rsid w:val="009B5335"/>
    <w:rsid w:val="009B5BC7"/>
    <w:rsid w:val="009D02FE"/>
    <w:rsid w:val="009F745D"/>
    <w:rsid w:val="00A04F9A"/>
    <w:rsid w:val="00A20B2B"/>
    <w:rsid w:val="00A32B74"/>
    <w:rsid w:val="00A44FDC"/>
    <w:rsid w:val="00A45550"/>
    <w:rsid w:val="00A5149C"/>
    <w:rsid w:val="00A64B4D"/>
    <w:rsid w:val="00A87DE4"/>
    <w:rsid w:val="00A950EB"/>
    <w:rsid w:val="00A97734"/>
    <w:rsid w:val="00AA1D8D"/>
    <w:rsid w:val="00AA1E06"/>
    <w:rsid w:val="00AB531D"/>
    <w:rsid w:val="00AB57E5"/>
    <w:rsid w:val="00AB78CB"/>
    <w:rsid w:val="00AD0A2F"/>
    <w:rsid w:val="00AD0E73"/>
    <w:rsid w:val="00AE43F7"/>
    <w:rsid w:val="00AE68D5"/>
    <w:rsid w:val="00AF56F5"/>
    <w:rsid w:val="00B05F1A"/>
    <w:rsid w:val="00B26DB1"/>
    <w:rsid w:val="00B42575"/>
    <w:rsid w:val="00B47730"/>
    <w:rsid w:val="00B70112"/>
    <w:rsid w:val="00B910E0"/>
    <w:rsid w:val="00B926BB"/>
    <w:rsid w:val="00B9367A"/>
    <w:rsid w:val="00BA00F6"/>
    <w:rsid w:val="00BC60EF"/>
    <w:rsid w:val="00BE5529"/>
    <w:rsid w:val="00BE7E03"/>
    <w:rsid w:val="00C05849"/>
    <w:rsid w:val="00C13925"/>
    <w:rsid w:val="00C15D43"/>
    <w:rsid w:val="00C248B4"/>
    <w:rsid w:val="00C258CF"/>
    <w:rsid w:val="00C30934"/>
    <w:rsid w:val="00C4725A"/>
    <w:rsid w:val="00C651FC"/>
    <w:rsid w:val="00C81EEA"/>
    <w:rsid w:val="00C846F5"/>
    <w:rsid w:val="00C87EA7"/>
    <w:rsid w:val="00CA1E49"/>
    <w:rsid w:val="00CB0664"/>
    <w:rsid w:val="00CB3758"/>
    <w:rsid w:val="00D32AD1"/>
    <w:rsid w:val="00D34095"/>
    <w:rsid w:val="00D41BCB"/>
    <w:rsid w:val="00D44FEE"/>
    <w:rsid w:val="00D53DBF"/>
    <w:rsid w:val="00D63FED"/>
    <w:rsid w:val="00D72287"/>
    <w:rsid w:val="00D725A4"/>
    <w:rsid w:val="00D72E26"/>
    <w:rsid w:val="00D85E8E"/>
    <w:rsid w:val="00DA0EBC"/>
    <w:rsid w:val="00DA1306"/>
    <w:rsid w:val="00DA6993"/>
    <w:rsid w:val="00DB0969"/>
    <w:rsid w:val="00DD6113"/>
    <w:rsid w:val="00DE24A7"/>
    <w:rsid w:val="00DE4628"/>
    <w:rsid w:val="00DE4761"/>
    <w:rsid w:val="00E230D9"/>
    <w:rsid w:val="00E33C0A"/>
    <w:rsid w:val="00E60683"/>
    <w:rsid w:val="00E62EAE"/>
    <w:rsid w:val="00E90813"/>
    <w:rsid w:val="00EA1193"/>
    <w:rsid w:val="00EA2572"/>
    <w:rsid w:val="00EA7A44"/>
    <w:rsid w:val="00EB6353"/>
    <w:rsid w:val="00EC45F6"/>
    <w:rsid w:val="00EC46DF"/>
    <w:rsid w:val="00ED6BFA"/>
    <w:rsid w:val="00ED716E"/>
    <w:rsid w:val="00EE2757"/>
    <w:rsid w:val="00F04C02"/>
    <w:rsid w:val="00F065E1"/>
    <w:rsid w:val="00F1245A"/>
    <w:rsid w:val="00F12479"/>
    <w:rsid w:val="00F216F6"/>
    <w:rsid w:val="00F57793"/>
    <w:rsid w:val="00F8092A"/>
    <w:rsid w:val="00F85C2E"/>
    <w:rsid w:val="00F979F5"/>
    <w:rsid w:val="00FA203E"/>
    <w:rsid w:val="00FA3A3F"/>
    <w:rsid w:val="00FB1FB3"/>
    <w:rsid w:val="00FC1201"/>
    <w:rsid w:val="00FC693F"/>
    <w:rsid w:val="00FD11D3"/>
    <w:rsid w:val="00FD34B4"/>
    <w:rsid w:val="00FE0019"/>
    <w:rsid w:val="00FE4978"/>
    <w:rsid w:val="00FE54E5"/>
    <w:rsid w:val="0EEE7737"/>
    <w:rsid w:val="14662AB7"/>
    <w:rsid w:val="14E37ED0"/>
    <w:rsid w:val="15279AE8"/>
    <w:rsid w:val="21BB2303"/>
    <w:rsid w:val="2657C56A"/>
    <w:rsid w:val="31DDBF91"/>
    <w:rsid w:val="3A83D97A"/>
    <w:rsid w:val="405660FD"/>
    <w:rsid w:val="41AB4387"/>
    <w:rsid w:val="45F22BBD"/>
    <w:rsid w:val="49B99181"/>
    <w:rsid w:val="51736AA0"/>
    <w:rsid w:val="55B0573A"/>
    <w:rsid w:val="583D44C3"/>
    <w:rsid w:val="5A6A597D"/>
    <w:rsid w:val="5AE876ED"/>
    <w:rsid w:val="5B07A455"/>
    <w:rsid w:val="5FF9BD3A"/>
    <w:rsid w:val="62970AD3"/>
    <w:rsid w:val="6365909A"/>
    <w:rsid w:val="6850D2EF"/>
    <w:rsid w:val="6E01EF63"/>
    <w:rsid w:val="72206D3E"/>
    <w:rsid w:val="7311F534"/>
    <w:rsid w:val="736F566E"/>
    <w:rsid w:val="777AC59B"/>
    <w:rsid w:val="7B4B52E0"/>
    <w:rsid w:val="7FCF2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E1AE16"/>
  <w14:defaultImageDpi w14:val="330"/>
  <w15:docId w15:val="{5EA517DA-8128-47F9-8246-719C8323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spacing w:after="60" w:line="259" w:lineRule="auto"/>
    </w:pPr>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7"/>
      </w:numPr>
      <w:contextualSpacing/>
    </w:pPr>
  </w:style>
  <w:style w:type="paragraph" w:styleId="ListBullet3">
    <w:name w:val="List Bullet 3"/>
    <w:basedOn w:val="Normal"/>
    <w:uiPriority w:val="99"/>
    <w:unhideWhenUsed/>
    <w:rsid w:val="00326F90"/>
    <w:pPr>
      <w:numPr>
        <w:numId w:val="2"/>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9"/>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unhideWhenUsed/>
    <w:rsid w:val="000C3E1F"/>
    <w:pPr>
      <w:spacing w:line="240" w:lineRule="auto"/>
    </w:pPr>
    <w:rPr>
      <w:szCs w:val="20"/>
    </w:rPr>
  </w:style>
  <w:style w:type="character" w:styleId="CommentTextChar" w:customStyle="1">
    <w:name w:val="Comment Text Char"/>
    <w:basedOn w:val="DefaultParagraphFont"/>
    <w:link w:val="CommentText"/>
    <w:uiPriority w:val="99"/>
    <w:rsid w:val="000C3E1F"/>
    <w:rPr>
      <w:rFonts w:ascii="Aptos" w:hAnsi="Aptos"/>
      <w:sz w:val="20"/>
      <w:szCs w:val="20"/>
    </w:rPr>
  </w:style>
  <w:style w:type="character" w:styleId="CommentReference">
    <w:name w:val="annotation reference"/>
    <w:basedOn w:val="DefaultParagraphFont"/>
    <w:uiPriority w:val="99"/>
    <w:semiHidden/>
    <w:unhideWhenUsed/>
    <w:rsid w:val="000C3E1F"/>
    <w:rPr>
      <w:sz w:val="16"/>
      <w:szCs w:val="16"/>
    </w:rPr>
  </w:style>
  <w:style w:type="paragraph" w:styleId="CommentSubject">
    <w:name w:val="annotation subject"/>
    <w:basedOn w:val="CommentText"/>
    <w:next w:val="CommentText"/>
    <w:link w:val="CommentSubjectChar"/>
    <w:uiPriority w:val="99"/>
    <w:semiHidden/>
    <w:unhideWhenUsed/>
    <w:rsid w:val="000E569D"/>
    <w:rPr>
      <w:b/>
      <w:bCs/>
    </w:rPr>
  </w:style>
  <w:style w:type="character" w:styleId="CommentSubjectChar" w:customStyle="1">
    <w:name w:val="Comment Subject Char"/>
    <w:basedOn w:val="CommentTextChar"/>
    <w:link w:val="CommentSubject"/>
    <w:uiPriority w:val="99"/>
    <w:semiHidden/>
    <w:rsid w:val="000E569D"/>
    <w:rPr>
      <w:rFonts w:ascii="Aptos" w:hAnsi="Aptos"/>
      <w:b/>
      <w:bCs/>
      <w:sz w:val="20"/>
      <w:szCs w:val="20"/>
    </w:rPr>
  </w:style>
  <w:style w:type="character" w:styleId="Mention">
    <w:name w:val="Mention"/>
    <w:basedOn w:val="DefaultParagraphFont"/>
    <w:uiPriority w:val="99"/>
    <w:unhideWhenUsed/>
    <w:rsid w:val="000E569D"/>
    <w:rPr>
      <w:color w:val="2B579A"/>
      <w:shd w:val="clear" w:color="auto" w:fill="E1DFDD"/>
    </w:rPr>
  </w:style>
  <w:style w:type="character" w:styleId="Hyperlink">
    <w:name w:val="Hyperlink"/>
    <w:basedOn w:val="DefaultParagraphFont"/>
    <w:uiPriority w:val="99"/>
    <w:unhideWhenUsed/>
    <w:rsid w:val="00AD0E73"/>
    <w:rPr>
      <w:color w:val="0000FF" w:themeColor="hyperlink"/>
      <w:u w:val="single"/>
    </w:rPr>
  </w:style>
  <w:style w:type="character" w:styleId="UnresolvedMention">
    <w:name w:val="Unresolved Mention"/>
    <w:basedOn w:val="DefaultParagraphFont"/>
    <w:uiPriority w:val="99"/>
    <w:semiHidden/>
    <w:unhideWhenUsed/>
    <w:rsid w:val="00AD0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yperlink" Target="https://www.ecfr.gov/current/title-24/subtitle-B/chapter-V/subchapter-C/part-578/subpart-G/section-578.103" TargetMode="External" Id="rId13" /><Relationship Type="http://schemas.openxmlformats.org/officeDocument/2006/relationships/header" Target="header1.xml" Id="rId18" /><Relationship Type="http://schemas.openxmlformats.org/officeDocument/2006/relationships/styles" Target="styles.xml" Id="rId3" /><Relationship Type="http://schemas.microsoft.com/office/2011/relationships/people" Target="people.xml" Id="rId21" /><Relationship Type="http://schemas.openxmlformats.org/officeDocument/2006/relationships/endnotes" Target="endnotes.xml" Id="rId7" /><Relationship Type="http://schemas.openxmlformats.org/officeDocument/2006/relationships/hyperlink" Target="https://www.ecfr.gov/current/title-24/subtitle-B/chapter-V/subchapter-C/part-578/subpart-F/section-578.75" TargetMode="External" Id="rId12" /><Relationship Type="http://schemas.openxmlformats.org/officeDocument/2006/relationships/hyperlink" Target="https://public.3.basecamp.com/p/doUvhsZBVEnUxQGB6bXmbyML" TargetMode="External" Id="rId17" /><Relationship Type="http://schemas.openxmlformats.org/officeDocument/2006/relationships/numbering" Target="numbering.xml" Id="rId2" /><Relationship Type="http://schemas.openxmlformats.org/officeDocument/2006/relationships/hyperlink" Target="https://uscode.house.gov/view.xhtml?path=/prelim@title34/subtitle1/chapter121/subchapter3/partL/subpart2&amp;edition=prelim"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yperlink" Target="https://files.simpler.grants.gov/opportunities/18c6dc79-e5dd-42e9-aca5-b35c5d26eded/attachments/82f3664c-257f-4eaa-b376-0bb562223868/NOFO-Content-Mod_CPD-2600-DC-0025.pdf" TargetMode="External" Id="rId15" /><Relationship Type="http://schemas.microsoft.com/office/2016/09/relationships/commentsIds" Target="commentsIds.xml" Id="rId10" /><Relationship Type="http://schemas.openxmlformats.org/officeDocument/2006/relationships/footer" Target="footer1.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hyperlink" Target="https://www.ecfr.gov/current/title-24/subtitle-A/part-5/subpart-L/section-5.2005"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Kansas Balance of State CoC Service Participation Policy - Revised Working Draft</dc:title>
  <dc:subject>Service Participation Policy</dc:subject>
  <dc:creator>Kansas Balance of State Continuum of Care</dc:creator>
  <keywords/>
  <dc:description/>
  <lastModifiedBy>Kayla Knier</lastModifiedBy>
  <revision>11</revision>
  <dcterms:created xsi:type="dcterms:W3CDTF">2026-07-09T09:23:00.0000000Z</dcterms:created>
  <dcterms:modified xsi:type="dcterms:W3CDTF">2026-07-27T19:00:47.1281811Z</dcterms:modified>
  <category/>
</coreProperties>
</file>